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452"/>
        <w:gridCol w:w="1497"/>
        <w:gridCol w:w="1642"/>
        <w:gridCol w:w="1389"/>
        <w:gridCol w:w="1374"/>
      </w:tblGrid>
      <w:tr w:rsidR="00B40724" w:rsidRPr="00CC0312" w:rsidTr="006E1499">
        <w:trPr>
          <w:trHeight w:val="542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0724" w:rsidRPr="00CC0312" w:rsidRDefault="00B40724" w:rsidP="00555EA0">
            <w:pPr>
              <w:jc w:val="center"/>
              <w:rPr>
                <w:rFonts w:cs="Arial"/>
                <w:b/>
              </w:rPr>
            </w:pPr>
            <w:r w:rsidRPr="00CC0312">
              <w:rPr>
                <w:rFonts w:cs="Arial"/>
                <w:b/>
                <w:u w:val="single"/>
              </w:rPr>
              <w:br w:type="page"/>
            </w:r>
            <w:r w:rsidRPr="00CC0312">
              <w:rPr>
                <w:rFonts w:cs="Arial"/>
                <w:b/>
                <w:sz w:val="32"/>
              </w:rPr>
              <w:t>EXPECT</w:t>
            </w:r>
            <w:r w:rsidR="006E1499">
              <w:rPr>
                <w:rFonts w:cs="Arial"/>
                <w:b/>
                <w:sz w:val="32"/>
              </w:rPr>
              <w:t xml:space="preserve"> GROUP OF COMPANIES</w:t>
            </w:r>
          </w:p>
        </w:tc>
      </w:tr>
      <w:tr w:rsidR="00B40724" w:rsidRPr="00CC0312" w:rsidTr="006E1499">
        <w:trPr>
          <w:trHeight w:val="556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724" w:rsidRPr="00CC0312" w:rsidRDefault="00C31982" w:rsidP="00555EA0">
            <w:pPr>
              <w:jc w:val="center"/>
              <w:rPr>
                <w:rFonts w:cs="Arial"/>
                <w:b/>
                <w:sz w:val="32"/>
              </w:rPr>
            </w:pPr>
            <w:r w:rsidRPr="00CC0312">
              <w:rPr>
                <w:rFonts w:cs="Arial"/>
                <w:b/>
                <w:sz w:val="28"/>
              </w:rPr>
              <w:t>LEAVING THE SERVICE</w:t>
            </w:r>
          </w:p>
        </w:tc>
      </w:tr>
      <w:tr w:rsidR="00B40724" w:rsidRPr="00CC0312" w:rsidTr="006E1499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0724" w:rsidRPr="00CC0312" w:rsidRDefault="00B40724" w:rsidP="0057378A">
            <w:pPr>
              <w:jc w:val="center"/>
              <w:rPr>
                <w:rFonts w:cs="Arial"/>
                <w:b/>
              </w:rPr>
            </w:pPr>
            <w:r w:rsidRPr="00CC0312">
              <w:rPr>
                <w:rFonts w:cs="Arial"/>
                <w:b/>
              </w:rPr>
              <w:t>Scope</w:t>
            </w:r>
          </w:p>
          <w:p w:rsidR="00B40724" w:rsidRPr="00CC0312" w:rsidRDefault="00C31982" w:rsidP="00C86BC2">
            <w:pPr>
              <w:pStyle w:val="NormalWeb"/>
              <w:spacing w:after="0" w:line="360" w:lineRule="auto"/>
              <w:ind w:left="62" w:right="51"/>
              <w:rPr>
                <w:rFonts w:ascii="Arial" w:hAnsi="Arial" w:cs="Arial"/>
              </w:rPr>
            </w:pPr>
            <w:r w:rsidRPr="00CC0312">
              <w:rPr>
                <w:rFonts w:ascii="Arial" w:hAnsi="Arial" w:cs="Arial"/>
                <w:sz w:val="22"/>
                <w:szCs w:val="22"/>
              </w:rPr>
              <w:t xml:space="preserve">This procedure describes the responsibilities of staff to support, inform and make appropriate arrangements, when it is necessary for the </w:t>
            </w:r>
            <w:r w:rsidR="00426966">
              <w:rPr>
                <w:rFonts w:ascii="Arial" w:hAnsi="Arial" w:cs="Arial"/>
                <w:sz w:val="22"/>
                <w:szCs w:val="22"/>
              </w:rPr>
              <w:t>Service User</w:t>
            </w:r>
            <w:r w:rsidRPr="00CC0312">
              <w:rPr>
                <w:rFonts w:ascii="Arial" w:hAnsi="Arial" w:cs="Arial"/>
                <w:sz w:val="22"/>
                <w:szCs w:val="22"/>
              </w:rPr>
              <w:t xml:space="preserve"> to </w:t>
            </w:r>
            <w:r w:rsidR="00426966">
              <w:rPr>
                <w:rFonts w:ascii="Arial" w:hAnsi="Arial" w:cs="Arial"/>
                <w:sz w:val="22"/>
                <w:szCs w:val="22"/>
              </w:rPr>
              <w:t>move/transfer</w:t>
            </w:r>
            <w:r w:rsidRPr="00CC0312">
              <w:rPr>
                <w:rFonts w:ascii="Arial" w:hAnsi="Arial" w:cs="Arial"/>
                <w:sz w:val="22"/>
                <w:szCs w:val="22"/>
              </w:rPr>
              <w:t xml:space="preserve">,  transfer to another service or leave Expect’s services entirely. </w:t>
            </w:r>
          </w:p>
        </w:tc>
      </w:tr>
      <w:tr w:rsidR="006E1499" w:rsidRPr="00CC0312" w:rsidTr="008A63EF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E1499" w:rsidRPr="00CC0312" w:rsidRDefault="006E1499" w:rsidP="00B04762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Related </w:t>
            </w:r>
            <w:r w:rsidRPr="00CC0312">
              <w:rPr>
                <w:rFonts w:cs="Arial"/>
                <w:b/>
                <w:bCs/>
                <w:sz w:val="20"/>
              </w:rPr>
              <w:t>Documents</w:t>
            </w:r>
          </w:p>
          <w:p w:rsidR="006E1499" w:rsidRDefault="006E1499" w:rsidP="00B04762">
            <w:pPr>
              <w:spacing w:line="360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CC0312">
              <w:rPr>
                <w:rFonts w:cs="Arial"/>
                <w:color w:val="000000"/>
                <w:sz w:val="20"/>
                <w:szCs w:val="20"/>
                <w:lang w:val="en-US"/>
              </w:rPr>
              <w:t>MA007.1 SU Transfer Sheet</w:t>
            </w:r>
          </w:p>
          <w:p w:rsidR="006E1499" w:rsidRPr="00CC0312" w:rsidRDefault="006E1499" w:rsidP="00B04762">
            <w:pPr>
              <w:spacing w:line="360" w:lineRule="auto"/>
              <w:rPr>
                <w:rFonts w:cs="Arial"/>
              </w:rPr>
            </w:pPr>
            <w:r w:rsidRPr="00CC0312">
              <w:rPr>
                <w:rFonts w:cs="Arial"/>
                <w:sz w:val="20"/>
                <w:szCs w:val="20"/>
              </w:rPr>
              <w:t>FA001 SU Cash and Valuables</w:t>
            </w:r>
          </w:p>
          <w:p w:rsidR="006E1499" w:rsidRDefault="006E1499" w:rsidP="00B04762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CC0312">
              <w:rPr>
                <w:rFonts w:cs="Arial"/>
                <w:sz w:val="20"/>
                <w:szCs w:val="20"/>
              </w:rPr>
              <w:t>FA002 SU Retained Property</w:t>
            </w:r>
          </w:p>
          <w:p w:rsidR="006E1499" w:rsidRPr="00CC0312" w:rsidRDefault="006E1499" w:rsidP="00B04762">
            <w:pPr>
              <w:spacing w:line="360" w:lineRule="auto"/>
              <w:rPr>
                <w:rFonts w:cs="Arial"/>
                <w:szCs w:val="24"/>
              </w:rPr>
            </w:pPr>
            <w:r w:rsidRPr="003029EB">
              <w:rPr>
                <w:rFonts w:cs="Arial"/>
                <w:sz w:val="20"/>
                <w:szCs w:val="20"/>
              </w:rPr>
              <w:t xml:space="preserve">FA012-FIN New/Amended/Terminated Package of Support </w:t>
            </w:r>
            <w:r>
              <w:rPr>
                <w:rFonts w:cs="Arial"/>
                <w:sz w:val="20"/>
                <w:szCs w:val="20"/>
              </w:rPr>
              <w:t>F</w:t>
            </w:r>
            <w:r w:rsidRPr="003029EB">
              <w:rPr>
                <w:rFonts w:cs="Arial"/>
                <w:sz w:val="20"/>
                <w:szCs w:val="20"/>
              </w:rPr>
              <w:t xml:space="preserve">orm </w:t>
            </w:r>
          </w:p>
        </w:tc>
      </w:tr>
      <w:tr w:rsidR="00B40724" w:rsidRPr="00CC0312" w:rsidTr="006E1499"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40724" w:rsidRPr="00CC0312" w:rsidRDefault="00B40724" w:rsidP="00B40724">
            <w:pPr>
              <w:pStyle w:val="TOC1"/>
              <w:rPr>
                <w:rFonts w:cs="Arial"/>
                <w:sz w:val="8"/>
              </w:rPr>
            </w:pPr>
          </w:p>
          <w:p w:rsidR="00B40724" w:rsidRPr="00CC0312" w:rsidRDefault="00B40724" w:rsidP="00B40724">
            <w:pPr>
              <w:pStyle w:val="TOC1"/>
              <w:rPr>
                <w:rFonts w:cs="Arial"/>
              </w:rPr>
            </w:pPr>
            <w:r w:rsidRPr="00CC0312">
              <w:rPr>
                <w:rFonts w:cs="Arial"/>
              </w:rPr>
              <w:t>CONTENTS</w:t>
            </w:r>
          </w:p>
          <w:p w:rsidR="00B11B8E" w:rsidRPr="00CC0312" w:rsidRDefault="00B40724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r w:rsidRPr="00CC0312">
              <w:rPr>
                <w:rFonts w:cs="Arial"/>
              </w:rPr>
              <w:fldChar w:fldCharType="begin"/>
            </w:r>
            <w:r w:rsidRPr="00CC0312">
              <w:rPr>
                <w:rFonts w:cs="Arial"/>
              </w:rPr>
              <w:instrText xml:space="preserve"> TOC \o "1-1" \h \z \u </w:instrText>
            </w:r>
            <w:r w:rsidRPr="00CC0312">
              <w:rPr>
                <w:rFonts w:cs="Arial"/>
              </w:rPr>
              <w:fldChar w:fldCharType="separate"/>
            </w:r>
            <w:hyperlink w:anchor="_Toc384365066" w:history="1">
              <w:r w:rsidR="00B11B8E" w:rsidRPr="00CC0312">
                <w:rPr>
                  <w:rStyle w:val="Hyperlink"/>
                  <w:rFonts w:eastAsia="Times New Roman" w:cs="Arial"/>
                  <w:b w:val="0"/>
                  <w:noProof/>
                  <w:kern w:val="36"/>
                  <w:sz w:val="22"/>
                  <w:lang w:eastAsia="en-GB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1</w:t>
              </w:r>
              <w:r w:rsidR="00B11B8E" w:rsidRPr="00CC0312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B11B8E" w:rsidRPr="00CC0312">
                <w:rPr>
                  <w:rStyle w:val="Hyperlink"/>
                  <w:rFonts w:eastAsia="Times New Roman" w:cs="Arial"/>
                  <w:b w:val="0"/>
                  <w:bCs/>
                  <w:noProof/>
                  <w:kern w:val="36"/>
                  <w:sz w:val="22"/>
                  <w:lang w:eastAsia="en-GB"/>
                </w:rPr>
                <w:t>AIMS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_Toc384365066 \h </w:instrTex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6E1499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B11B8E" w:rsidRPr="00CC0312" w:rsidRDefault="00D10AA5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0"/>
                <w:szCs w:val="22"/>
                <w:lang w:eastAsia="en-GB"/>
              </w:rPr>
            </w:pPr>
            <w:hyperlink w:anchor="_Toc384365067" w:history="1">
              <w:r w:rsidR="00B11B8E" w:rsidRPr="00CC0312">
                <w:rPr>
                  <w:rStyle w:val="Hyperlink"/>
                  <w:rFonts w:eastAsia="Times New Roman" w:cs="Arial"/>
                  <w:b w:val="0"/>
                  <w:noProof/>
                  <w:kern w:val="36"/>
                  <w:sz w:val="22"/>
                  <w:lang w:val="en-US" w:eastAsia="en-GB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2</w:t>
              </w:r>
              <w:r w:rsidR="00B11B8E" w:rsidRPr="00CC0312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B11B8E" w:rsidRPr="00CC0312">
                <w:rPr>
                  <w:rStyle w:val="Hyperlink"/>
                  <w:rFonts w:eastAsia="Times New Roman" w:cs="Arial"/>
                  <w:b w:val="0"/>
                  <w:bCs/>
                  <w:noProof/>
                  <w:kern w:val="36"/>
                  <w:sz w:val="22"/>
                  <w:lang w:val="en-US" w:eastAsia="en-GB"/>
                </w:rPr>
                <w:t>STANDARDS OF EXCELLENCE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_Toc384365067 \h </w:instrTex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6E1499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B11B8E" w:rsidRPr="00CC0312" w:rsidRDefault="00D10AA5">
            <w:pPr>
              <w:pStyle w:val="TOC1"/>
              <w:rPr>
                <w:rFonts w:eastAsiaTheme="minorEastAsia" w:cs="Arial"/>
                <w:b w:val="0"/>
                <w:noProof/>
                <w:color w:val="auto"/>
                <w:kern w:val="0"/>
                <w:sz w:val="22"/>
                <w:szCs w:val="22"/>
                <w:lang w:eastAsia="en-GB"/>
              </w:rPr>
            </w:pPr>
            <w:hyperlink w:anchor="_Toc384365068" w:history="1">
              <w:r w:rsidR="00B11B8E" w:rsidRPr="00CC0312">
                <w:rPr>
                  <w:rStyle w:val="Hyperlink"/>
                  <w:rFonts w:eastAsia="Times New Roman" w:cs="Arial"/>
                  <w:b w:val="0"/>
                  <w:noProof/>
                  <w:kern w:val="36"/>
                  <w:sz w:val="22"/>
                  <w:lang w:val="en-US" w:eastAsia="en-GB"/>
                  <w14:scene3d>
                    <w14:camera w14:prst="orthographicFront"/>
                    <w14:lightRig w14:rig="threePt" w14:dir="t">
                      <w14:rot w14:lat="0" w14:lon="0" w14:rev="0"/>
                    </w14:lightRig>
                  </w14:scene3d>
                </w:rPr>
                <w:t>3</w:t>
              </w:r>
              <w:r w:rsidR="00B11B8E" w:rsidRPr="00CC0312">
                <w:rPr>
                  <w:rFonts w:eastAsiaTheme="minorEastAsia" w:cs="Arial"/>
                  <w:b w:val="0"/>
                  <w:noProof/>
                  <w:color w:val="auto"/>
                  <w:kern w:val="0"/>
                  <w:sz w:val="20"/>
                  <w:szCs w:val="22"/>
                  <w:lang w:eastAsia="en-GB"/>
                </w:rPr>
                <w:tab/>
              </w:r>
              <w:r w:rsidR="00B11B8E" w:rsidRPr="00CC0312">
                <w:rPr>
                  <w:rStyle w:val="Hyperlink"/>
                  <w:rFonts w:eastAsia="Times New Roman" w:cs="Arial"/>
                  <w:b w:val="0"/>
                  <w:bCs/>
                  <w:noProof/>
                  <w:kern w:val="36"/>
                  <w:sz w:val="22"/>
                  <w:lang w:val="en-US" w:eastAsia="en-GB"/>
                </w:rPr>
                <w:t>RESPONSIBILITIES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tab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begin"/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instrText xml:space="preserve"> PAGEREF _Toc384365068 \h </w:instrTex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separate"/>
              </w:r>
              <w:r w:rsidR="006E1499">
                <w:rPr>
                  <w:rFonts w:cs="Arial"/>
                  <w:b w:val="0"/>
                  <w:noProof/>
                  <w:webHidden/>
                  <w:sz w:val="22"/>
                </w:rPr>
                <w:t>2</w:t>
              </w:r>
              <w:r w:rsidR="00B11B8E" w:rsidRPr="00CC0312">
                <w:rPr>
                  <w:rFonts w:cs="Arial"/>
                  <w:b w:val="0"/>
                  <w:noProof/>
                  <w:webHidden/>
                  <w:sz w:val="22"/>
                </w:rPr>
                <w:fldChar w:fldCharType="end"/>
              </w:r>
            </w:hyperlink>
          </w:p>
          <w:p w:rsidR="00B40724" w:rsidRPr="00CC0312" w:rsidRDefault="00B40724" w:rsidP="00B40724">
            <w:pPr>
              <w:pStyle w:val="TOC1"/>
              <w:rPr>
                <w:rFonts w:cs="Arial"/>
              </w:rPr>
            </w:pPr>
            <w:r w:rsidRPr="00CC0312">
              <w:rPr>
                <w:rFonts w:cs="Arial"/>
              </w:rPr>
              <w:fldChar w:fldCharType="end"/>
            </w:r>
          </w:p>
        </w:tc>
      </w:tr>
      <w:tr w:rsidR="00B40724" w:rsidRPr="00CC0312" w:rsidTr="006E1499">
        <w:trPr>
          <w:trHeight w:val="377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0724" w:rsidRPr="00CC0312" w:rsidRDefault="00B40724" w:rsidP="00B40724">
            <w:pPr>
              <w:jc w:val="center"/>
              <w:rPr>
                <w:rFonts w:cs="Arial"/>
                <w:b/>
              </w:rPr>
            </w:pPr>
            <w:r w:rsidRPr="00CC0312">
              <w:rPr>
                <w:rFonts w:cs="Arial"/>
                <w:b/>
                <w:color w:val="auto"/>
              </w:rPr>
              <w:t>Issue Status</w:t>
            </w:r>
          </w:p>
        </w:tc>
      </w:tr>
      <w:tr w:rsidR="00B40724" w:rsidRPr="00CC0312" w:rsidTr="006E1499"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b/>
                <w:sz w:val="22"/>
              </w:rPr>
            </w:pPr>
            <w:r w:rsidRPr="00CC0312">
              <w:rPr>
                <w:rFonts w:cs="Arial"/>
                <w:b/>
                <w:sz w:val="22"/>
              </w:rPr>
              <w:t>First Issued:</w:t>
            </w:r>
          </w:p>
        </w:tc>
        <w:tc>
          <w:tcPr>
            <w:tcW w:w="2949" w:type="dxa"/>
            <w:gridSpan w:val="2"/>
            <w:shd w:val="clear" w:color="auto" w:fill="DDD9C3" w:themeFill="background2" w:themeFillShade="E6"/>
            <w:vAlign w:val="center"/>
          </w:tcPr>
          <w:p w:rsidR="00B40724" w:rsidRPr="00CC0312" w:rsidRDefault="00C31982" w:rsidP="0057378A">
            <w:pPr>
              <w:rPr>
                <w:rFonts w:cs="Arial"/>
                <w:sz w:val="22"/>
              </w:rPr>
            </w:pPr>
            <w:r w:rsidRPr="00CC0312">
              <w:rPr>
                <w:rFonts w:cs="Arial"/>
                <w:sz w:val="22"/>
              </w:rPr>
              <w:t>20 November 2007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B40724">
            <w:pPr>
              <w:rPr>
                <w:rFonts w:cs="Arial"/>
                <w:b/>
                <w:sz w:val="22"/>
              </w:rPr>
            </w:pPr>
            <w:r w:rsidRPr="00CC0312">
              <w:rPr>
                <w:rFonts w:cs="Arial"/>
                <w:b/>
                <w:sz w:val="22"/>
              </w:rPr>
              <w:t>Current Issue Date:</w:t>
            </w:r>
          </w:p>
        </w:tc>
        <w:tc>
          <w:tcPr>
            <w:tcW w:w="2763" w:type="dxa"/>
            <w:gridSpan w:val="2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6E1499" w:rsidP="00426966">
            <w:pPr>
              <w:rPr>
                <w:rFonts w:cs="Arial"/>
              </w:rPr>
            </w:pPr>
            <w:r>
              <w:rPr>
                <w:rFonts w:cs="Arial"/>
                <w:sz w:val="22"/>
              </w:rPr>
              <w:t>12 November 2020</w:t>
            </w:r>
          </w:p>
        </w:tc>
      </w:tr>
      <w:tr w:rsidR="00B40724" w:rsidRPr="00CC0312" w:rsidTr="006E1499">
        <w:trPr>
          <w:trHeight w:val="319"/>
        </w:trPr>
        <w:tc>
          <w:tcPr>
            <w:tcW w:w="899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40724" w:rsidRPr="00CC0312" w:rsidRDefault="00B40724" w:rsidP="00B40724">
            <w:pPr>
              <w:jc w:val="center"/>
              <w:rPr>
                <w:rFonts w:cs="Arial"/>
                <w:b/>
              </w:rPr>
            </w:pPr>
            <w:r w:rsidRPr="00CC0312">
              <w:rPr>
                <w:rFonts w:cs="Arial"/>
                <w:b/>
                <w:color w:val="auto"/>
              </w:rPr>
              <w:t>Annual Review Record</w:t>
            </w:r>
          </w:p>
        </w:tc>
      </w:tr>
      <w:tr w:rsidR="00B40724" w:rsidRPr="00CC0312" w:rsidTr="006E1499">
        <w:trPr>
          <w:trHeight w:val="322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1</w:t>
            </w:r>
            <w:r w:rsidRPr="00CC0312">
              <w:rPr>
                <w:rFonts w:cs="Arial"/>
                <w:sz w:val="18"/>
                <w:vertAlign w:val="superscript"/>
              </w:rPr>
              <w:t>st</w:t>
            </w:r>
            <w:r w:rsidRPr="00CC0312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452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  <w:tc>
          <w:tcPr>
            <w:tcW w:w="1497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2</w:t>
            </w:r>
            <w:r w:rsidRPr="00CC0312">
              <w:rPr>
                <w:rFonts w:cs="Arial"/>
                <w:sz w:val="18"/>
                <w:vertAlign w:val="superscript"/>
              </w:rPr>
              <w:t>nd</w:t>
            </w:r>
            <w:r w:rsidRPr="00CC0312">
              <w:rPr>
                <w:rFonts w:cs="Arial"/>
                <w:sz w:val="18"/>
              </w:rPr>
              <w:t xml:space="preserve">  Review by: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  <w:tc>
          <w:tcPr>
            <w:tcW w:w="1389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3</w:t>
            </w:r>
            <w:r w:rsidRPr="00CC0312">
              <w:rPr>
                <w:rFonts w:cs="Arial"/>
                <w:sz w:val="18"/>
                <w:vertAlign w:val="superscript"/>
              </w:rPr>
              <w:t>rd</w:t>
            </w:r>
            <w:r w:rsidRPr="00CC0312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</w:tr>
      <w:tr w:rsidR="00B40724" w:rsidRPr="00CC0312" w:rsidTr="006E1499">
        <w:trPr>
          <w:trHeight w:val="381"/>
        </w:trPr>
        <w:tc>
          <w:tcPr>
            <w:tcW w:w="1642" w:type="dxa"/>
            <w:tcBorders>
              <w:left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  <w:szCs w:val="18"/>
              </w:rPr>
            </w:pPr>
          </w:p>
        </w:tc>
        <w:tc>
          <w:tcPr>
            <w:tcW w:w="1452" w:type="dxa"/>
            <w:vAlign w:val="center"/>
          </w:tcPr>
          <w:p w:rsidR="00B40724" w:rsidRPr="007D0F8D" w:rsidRDefault="00B40724" w:rsidP="00573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B40724" w:rsidRPr="007D0F8D" w:rsidRDefault="00B40724" w:rsidP="00573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642" w:type="dxa"/>
            <w:vAlign w:val="center"/>
          </w:tcPr>
          <w:p w:rsidR="00B40724" w:rsidRPr="007D0F8D" w:rsidRDefault="00B40724" w:rsidP="00573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40724" w:rsidRPr="007D0F8D" w:rsidRDefault="00B40724" w:rsidP="0057378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374" w:type="dxa"/>
            <w:tcBorders>
              <w:right w:val="single" w:sz="12" w:space="0" w:color="auto"/>
            </w:tcBorders>
            <w:vAlign w:val="center"/>
          </w:tcPr>
          <w:p w:rsidR="00B40724" w:rsidRPr="007D0F8D" w:rsidRDefault="00B40724" w:rsidP="0057378A">
            <w:pPr>
              <w:rPr>
                <w:rFonts w:cs="Arial"/>
                <w:sz w:val="18"/>
                <w:szCs w:val="18"/>
              </w:rPr>
            </w:pPr>
          </w:p>
        </w:tc>
      </w:tr>
      <w:tr w:rsidR="00B40724" w:rsidRPr="00CC0312" w:rsidTr="006E1499">
        <w:trPr>
          <w:trHeight w:val="322"/>
        </w:trPr>
        <w:tc>
          <w:tcPr>
            <w:tcW w:w="1642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4</w:t>
            </w:r>
            <w:r w:rsidRPr="00CC0312">
              <w:rPr>
                <w:rFonts w:cs="Arial"/>
                <w:sz w:val="18"/>
                <w:vertAlign w:val="superscript"/>
              </w:rPr>
              <w:t>th</w:t>
            </w:r>
            <w:r w:rsidRPr="00CC0312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452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  <w:tc>
          <w:tcPr>
            <w:tcW w:w="1497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5</w:t>
            </w:r>
            <w:r w:rsidRPr="00CC0312">
              <w:rPr>
                <w:rFonts w:cs="Arial"/>
                <w:sz w:val="18"/>
                <w:vertAlign w:val="superscript"/>
              </w:rPr>
              <w:t>th</w:t>
            </w:r>
            <w:r w:rsidRPr="00CC0312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642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  <w:tc>
          <w:tcPr>
            <w:tcW w:w="1389" w:type="dxa"/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6</w:t>
            </w:r>
            <w:r w:rsidRPr="00CC0312">
              <w:rPr>
                <w:rFonts w:cs="Arial"/>
                <w:sz w:val="18"/>
                <w:vertAlign w:val="superscript"/>
              </w:rPr>
              <w:t>th</w:t>
            </w:r>
            <w:r w:rsidRPr="00CC0312">
              <w:rPr>
                <w:rFonts w:cs="Arial"/>
                <w:sz w:val="18"/>
              </w:rPr>
              <w:t xml:space="preserve"> Review by:</w:t>
            </w:r>
          </w:p>
        </w:tc>
        <w:tc>
          <w:tcPr>
            <w:tcW w:w="1374" w:type="dxa"/>
            <w:tcBorders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B40724" w:rsidRPr="00CC0312" w:rsidRDefault="00B40724" w:rsidP="0057378A">
            <w:pPr>
              <w:rPr>
                <w:rFonts w:cs="Arial"/>
                <w:sz w:val="18"/>
              </w:rPr>
            </w:pPr>
            <w:r w:rsidRPr="00CC0312">
              <w:rPr>
                <w:rFonts w:cs="Arial"/>
                <w:sz w:val="18"/>
              </w:rPr>
              <w:t>Date of Review</w:t>
            </w:r>
          </w:p>
        </w:tc>
      </w:tr>
      <w:tr w:rsidR="00B40724" w:rsidRPr="00CC0312" w:rsidTr="006E1499">
        <w:trPr>
          <w:trHeight w:val="322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452" w:type="dxa"/>
            <w:tcBorders>
              <w:bottom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497" w:type="dxa"/>
            <w:tcBorders>
              <w:bottom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  <w:tc>
          <w:tcPr>
            <w:tcW w:w="13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6E1499" w:rsidRDefault="00B40724" w:rsidP="0057378A">
            <w:pPr>
              <w:rPr>
                <w:rFonts w:cs="Arial"/>
                <w:sz w:val="28"/>
              </w:rPr>
            </w:pPr>
          </w:p>
        </w:tc>
      </w:tr>
      <w:tr w:rsidR="00B40724" w:rsidRPr="00CC0312" w:rsidTr="006E1499">
        <w:trPr>
          <w:trHeight w:val="433"/>
        </w:trPr>
        <w:tc>
          <w:tcPr>
            <w:tcW w:w="1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0724" w:rsidRPr="00CC0312" w:rsidRDefault="00B40724" w:rsidP="00B40724">
            <w:pPr>
              <w:rPr>
                <w:rFonts w:cs="Arial"/>
              </w:rPr>
            </w:pPr>
            <w:r w:rsidRPr="00CC0312">
              <w:rPr>
                <w:rFonts w:cs="Arial"/>
                <w:sz w:val="22"/>
              </w:rPr>
              <w:t>Author/Owner:</w:t>
            </w:r>
          </w:p>
        </w:tc>
        <w:tc>
          <w:tcPr>
            <w:tcW w:w="2949" w:type="dxa"/>
            <w:gridSpan w:val="2"/>
            <w:tcBorders>
              <w:top w:val="single" w:sz="12" w:space="0" w:color="auto"/>
            </w:tcBorders>
            <w:vAlign w:val="center"/>
          </w:tcPr>
          <w:p w:rsidR="00B40724" w:rsidRPr="00CC0312" w:rsidRDefault="006E1499" w:rsidP="00B40724">
            <w:pPr>
              <w:rPr>
                <w:rFonts w:cs="Arial"/>
              </w:rPr>
            </w:pPr>
            <w:r>
              <w:rPr>
                <w:rFonts w:cs="Arial"/>
              </w:rPr>
              <w:t>Hiral Shah</w:t>
            </w:r>
          </w:p>
        </w:tc>
        <w:tc>
          <w:tcPr>
            <w:tcW w:w="1642" w:type="dxa"/>
            <w:tcBorders>
              <w:top w:val="single" w:sz="12" w:space="0" w:color="auto"/>
            </w:tcBorders>
            <w:vAlign w:val="center"/>
          </w:tcPr>
          <w:p w:rsidR="00B40724" w:rsidRPr="00CC0312" w:rsidRDefault="00B40724" w:rsidP="00B40724">
            <w:pPr>
              <w:rPr>
                <w:rFonts w:cs="Arial"/>
              </w:rPr>
            </w:pPr>
            <w:r w:rsidRPr="00CC0312">
              <w:rPr>
                <w:rFonts w:cs="Arial"/>
                <w:sz w:val="22"/>
              </w:rPr>
              <w:t>Designation:</w:t>
            </w:r>
          </w:p>
        </w:tc>
        <w:tc>
          <w:tcPr>
            <w:tcW w:w="276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0724" w:rsidRPr="00CC0312" w:rsidRDefault="00D10AA5" w:rsidP="00F57638">
            <w:pPr>
              <w:rPr>
                <w:rFonts w:cs="Arial"/>
              </w:rPr>
            </w:pPr>
            <w:r>
              <w:rPr>
                <w:rFonts w:cs="Arial"/>
              </w:rPr>
              <w:t>Divisional Director</w:t>
            </w:r>
            <w:bookmarkStart w:id="0" w:name="_GoBack"/>
            <w:bookmarkEnd w:id="0"/>
          </w:p>
        </w:tc>
      </w:tr>
      <w:tr w:rsidR="00B40724" w:rsidRPr="00CC0312" w:rsidTr="006E1499">
        <w:trPr>
          <w:trHeight w:val="433"/>
        </w:trPr>
        <w:tc>
          <w:tcPr>
            <w:tcW w:w="16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0724" w:rsidRPr="00CC0312" w:rsidRDefault="00B40724" w:rsidP="00B40724">
            <w:pPr>
              <w:rPr>
                <w:rFonts w:cs="Arial"/>
              </w:rPr>
            </w:pPr>
            <w:r w:rsidRPr="00CC0312">
              <w:rPr>
                <w:rFonts w:cs="Arial"/>
                <w:sz w:val="22"/>
              </w:rPr>
              <w:t>Approved by:</w:t>
            </w:r>
          </w:p>
        </w:tc>
        <w:tc>
          <w:tcPr>
            <w:tcW w:w="2949" w:type="dxa"/>
            <w:gridSpan w:val="2"/>
            <w:tcBorders>
              <w:bottom w:val="single" w:sz="12" w:space="0" w:color="auto"/>
            </w:tcBorders>
            <w:vAlign w:val="center"/>
          </w:tcPr>
          <w:p w:rsidR="00B40724" w:rsidRPr="00CC0312" w:rsidRDefault="00B11B8E" w:rsidP="00B40724">
            <w:pPr>
              <w:rPr>
                <w:rFonts w:cs="Arial"/>
              </w:rPr>
            </w:pPr>
            <w:r w:rsidRPr="00CC0312">
              <w:rPr>
                <w:rFonts w:cs="Arial"/>
              </w:rPr>
              <w:t>Steve McDermott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:rsidR="00B40724" w:rsidRPr="00CC0312" w:rsidRDefault="00B40724" w:rsidP="00B40724">
            <w:pPr>
              <w:rPr>
                <w:rFonts w:cs="Arial"/>
              </w:rPr>
            </w:pPr>
            <w:r w:rsidRPr="00CC0312">
              <w:rPr>
                <w:rFonts w:cs="Arial"/>
                <w:sz w:val="22"/>
              </w:rPr>
              <w:t>Designation:</w:t>
            </w:r>
          </w:p>
        </w:tc>
        <w:tc>
          <w:tcPr>
            <w:tcW w:w="276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CC0312" w:rsidRDefault="00B11B8E" w:rsidP="00B40724">
            <w:pPr>
              <w:rPr>
                <w:rFonts w:cs="Arial"/>
              </w:rPr>
            </w:pPr>
            <w:r w:rsidRPr="00CC0312">
              <w:rPr>
                <w:rFonts w:cs="Arial"/>
              </w:rPr>
              <w:t>Chief Executive Officer</w:t>
            </w:r>
          </w:p>
        </w:tc>
      </w:tr>
      <w:tr w:rsidR="00B40724" w:rsidRPr="00CC0312" w:rsidTr="006E1499">
        <w:trPr>
          <w:trHeight w:val="860"/>
        </w:trPr>
        <w:tc>
          <w:tcPr>
            <w:tcW w:w="89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724" w:rsidRPr="00CC0312" w:rsidRDefault="00B40724" w:rsidP="0057378A">
            <w:pPr>
              <w:rPr>
                <w:rFonts w:cs="Arial"/>
              </w:rPr>
            </w:pPr>
            <w:r w:rsidRPr="00CC0312">
              <w:rPr>
                <w:rFonts w:cs="Arial"/>
              </w:rPr>
              <w:t xml:space="preserve">Signed: </w:t>
            </w:r>
          </w:p>
        </w:tc>
      </w:tr>
    </w:tbl>
    <w:p w:rsidR="00B40724" w:rsidRPr="00CC0312" w:rsidRDefault="00B40724">
      <w:pPr>
        <w:rPr>
          <w:rFonts w:cs="Arial"/>
          <w:b/>
          <w:u w:val="single"/>
        </w:rPr>
      </w:pPr>
    </w:p>
    <w:p w:rsidR="00B40724" w:rsidRPr="00CC0312" w:rsidRDefault="00B40724">
      <w:pPr>
        <w:rPr>
          <w:rFonts w:cs="Arial"/>
          <w:b/>
          <w:u w:val="single"/>
        </w:rPr>
      </w:pPr>
      <w:r w:rsidRPr="00CC0312">
        <w:rPr>
          <w:rFonts w:cs="Arial"/>
          <w:b/>
          <w:u w:val="single"/>
        </w:rPr>
        <w:br w:type="page"/>
      </w:r>
    </w:p>
    <w:p w:rsidR="00E935A2" w:rsidRPr="00CC0312" w:rsidRDefault="00E935A2" w:rsidP="00E935A2">
      <w:pPr>
        <w:jc w:val="center"/>
        <w:rPr>
          <w:rFonts w:cs="Arial"/>
          <w:b/>
        </w:rPr>
      </w:pPr>
      <w:r w:rsidRPr="00CC0312">
        <w:rPr>
          <w:rFonts w:cs="Arial"/>
          <w:b/>
        </w:rPr>
        <w:lastRenderedPageBreak/>
        <w:t>EXPECT</w:t>
      </w:r>
      <w:r w:rsidR="006E1499">
        <w:rPr>
          <w:rFonts w:cs="Arial"/>
          <w:b/>
        </w:rPr>
        <w:t xml:space="preserve"> GROUP OF COMPANIES</w:t>
      </w:r>
    </w:p>
    <w:p w:rsidR="00CE3FE5" w:rsidRPr="00CC0312" w:rsidRDefault="00C5238C" w:rsidP="00E935A2">
      <w:pPr>
        <w:jc w:val="center"/>
        <w:rPr>
          <w:rFonts w:cs="Arial"/>
          <w:b/>
        </w:rPr>
      </w:pPr>
      <w:r w:rsidRPr="00CC0312">
        <w:rPr>
          <w:rFonts w:cs="Arial"/>
          <w:b/>
        </w:rPr>
        <w:t>LEAVING THE SERVICE</w:t>
      </w:r>
    </w:p>
    <w:p w:rsidR="00157D73" w:rsidRPr="00CC0312" w:rsidRDefault="00157D73" w:rsidP="00157D73">
      <w:pPr>
        <w:numPr>
          <w:ilvl w:val="0"/>
          <w:numId w:val="2"/>
        </w:numPr>
        <w:spacing w:before="100" w:beforeAutospacing="1" w:after="119" w:line="480" w:lineRule="auto"/>
        <w:ind w:left="0" w:firstLine="0"/>
        <w:outlineLvl w:val="0"/>
        <w:rPr>
          <w:rFonts w:eastAsia="Times New Roman" w:cs="Arial"/>
          <w:b/>
          <w:bCs/>
          <w:color w:val="auto"/>
          <w:kern w:val="36"/>
          <w:sz w:val="32"/>
          <w:szCs w:val="32"/>
          <w:lang w:eastAsia="en-GB"/>
        </w:rPr>
      </w:pPr>
      <w:bookmarkStart w:id="1" w:name="_Toc384365066"/>
      <w:r w:rsidRPr="00CC0312">
        <w:rPr>
          <w:rFonts w:eastAsia="Times New Roman" w:cs="Arial"/>
          <w:b/>
          <w:bCs/>
          <w:color w:val="auto"/>
          <w:kern w:val="36"/>
          <w:szCs w:val="24"/>
          <w:lang w:eastAsia="en-GB"/>
        </w:rPr>
        <w:t>AIMS</w:t>
      </w:r>
      <w:bookmarkEnd w:id="1"/>
    </w:p>
    <w:p w:rsidR="006E1499" w:rsidRDefault="00426966" w:rsidP="00913B89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="00157D73"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s leaving a service have been fully consulted and agree to the </w:t>
      </w:r>
      <w:r>
        <w:rPr>
          <w:rFonts w:eastAsia="Times New Roman" w:cs="Arial"/>
          <w:color w:val="auto"/>
          <w:kern w:val="0"/>
          <w:szCs w:val="24"/>
          <w:lang w:eastAsia="en-GB"/>
        </w:rPr>
        <w:t>move/transfer</w:t>
      </w:r>
      <w:r w:rsidR="001D79FF" w:rsidRPr="00CC0312">
        <w:rPr>
          <w:rFonts w:eastAsia="Times New Roman" w:cs="Arial"/>
          <w:color w:val="auto"/>
          <w:kern w:val="0"/>
          <w:szCs w:val="24"/>
          <w:lang w:eastAsia="en-GB"/>
        </w:rPr>
        <w:t>/change</w:t>
      </w:r>
      <w:r w:rsidR="00157D73" w:rsidRPr="00CC0312">
        <w:rPr>
          <w:rFonts w:eastAsia="Times New Roman" w:cs="Arial"/>
          <w:color w:val="auto"/>
          <w:kern w:val="0"/>
          <w:szCs w:val="24"/>
          <w:lang w:eastAsia="en-GB"/>
        </w:rPr>
        <w:t>.</w:t>
      </w:r>
      <w:r w:rsidR="006E1499">
        <w:rPr>
          <w:rFonts w:eastAsia="Times New Roman" w:cs="Arial"/>
          <w:color w:val="auto"/>
          <w:kern w:val="0"/>
          <w:szCs w:val="24"/>
          <w:lang w:eastAsia="en-GB"/>
        </w:rPr>
        <w:t xml:space="preserve">  </w:t>
      </w:r>
    </w:p>
    <w:p w:rsidR="006E1499" w:rsidRPr="00CC0312" w:rsidRDefault="006E1499" w:rsidP="006E1499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CC0312">
        <w:rPr>
          <w:rFonts w:eastAsia="Times New Roman" w:cs="Arial"/>
          <w:color w:val="auto"/>
          <w:kern w:val="0"/>
          <w:szCs w:val="24"/>
          <w:lang w:eastAsia="en-GB"/>
        </w:rPr>
        <w:t>Full consult</w:t>
      </w:r>
      <w:r>
        <w:rPr>
          <w:rFonts w:eastAsia="Times New Roman" w:cs="Arial"/>
          <w:color w:val="auto"/>
          <w:kern w:val="0"/>
          <w:szCs w:val="24"/>
          <w:lang w:eastAsia="en-GB"/>
        </w:rPr>
        <w:t>ation has taken place before a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</w:t>
      </w:r>
      <w:r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</w:t>
      </w:r>
      <w:r>
        <w:rPr>
          <w:rFonts w:eastAsia="Times New Roman" w:cs="Arial"/>
          <w:color w:val="auto"/>
          <w:kern w:val="0"/>
          <w:szCs w:val="24"/>
          <w:lang w:eastAsia="en-GB"/>
        </w:rPr>
        <w:t>moves/transfer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>s</w:t>
      </w:r>
      <w:r>
        <w:rPr>
          <w:rFonts w:eastAsia="Times New Roman" w:cs="Arial"/>
          <w:color w:val="auto"/>
          <w:kern w:val="0"/>
          <w:szCs w:val="24"/>
          <w:lang w:eastAsia="en-GB"/>
        </w:rPr>
        <w:t xml:space="preserve"> out of a service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to a new environment</w:t>
      </w:r>
      <w:r>
        <w:rPr>
          <w:rFonts w:eastAsia="Times New Roman" w:cs="Arial"/>
          <w:color w:val="auto"/>
          <w:kern w:val="0"/>
          <w:szCs w:val="24"/>
          <w:lang w:eastAsia="en-GB"/>
        </w:rPr>
        <w:t xml:space="preserve"> or provider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>.</w:t>
      </w:r>
      <w:r w:rsidRPr="00CC0312">
        <w:rPr>
          <w:rFonts w:eastAsia="Times New Roman" w:cs="Arial"/>
          <w:b/>
          <w:bCs/>
          <w:color w:val="auto"/>
          <w:kern w:val="0"/>
          <w:szCs w:val="24"/>
          <w:lang w:eastAsia="en-GB"/>
        </w:rPr>
        <w:t xml:space="preserve"> </w:t>
      </w:r>
    </w:p>
    <w:p w:rsidR="00157D73" w:rsidRDefault="006E1499" w:rsidP="00913B89">
      <w:pPr>
        <w:numPr>
          <w:ilvl w:val="0"/>
          <w:numId w:val="15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>
        <w:rPr>
          <w:rFonts w:eastAsia="Times New Roman" w:cs="Arial"/>
          <w:color w:val="auto"/>
          <w:kern w:val="0"/>
          <w:szCs w:val="24"/>
          <w:lang w:eastAsia="en-GB"/>
        </w:rPr>
        <w:t>Where a Service User is given notice to leave a service, this is dealt with in a sensitive and considered way.</w:t>
      </w:r>
    </w:p>
    <w:p w:rsidR="00157D73" w:rsidRPr="00CC0312" w:rsidRDefault="00157D73" w:rsidP="00157D73">
      <w:pPr>
        <w:keepNext/>
        <w:numPr>
          <w:ilvl w:val="0"/>
          <w:numId w:val="2"/>
        </w:numPr>
        <w:spacing w:before="100" w:beforeAutospacing="1" w:after="119" w:line="480" w:lineRule="auto"/>
        <w:ind w:left="0" w:firstLine="0"/>
        <w:outlineLvl w:val="0"/>
        <w:rPr>
          <w:rFonts w:eastAsia="Times New Roman" w:cs="Arial"/>
          <w:b/>
          <w:bCs/>
          <w:color w:val="auto"/>
          <w:kern w:val="36"/>
          <w:sz w:val="32"/>
          <w:szCs w:val="32"/>
          <w:lang w:val="en-US" w:eastAsia="en-GB"/>
        </w:rPr>
      </w:pPr>
      <w:bookmarkStart w:id="2" w:name="_Toc384365067"/>
      <w:r w:rsidRPr="00CC0312">
        <w:rPr>
          <w:rFonts w:eastAsia="Times New Roman" w:cs="Arial"/>
          <w:b/>
          <w:bCs/>
          <w:color w:val="auto"/>
          <w:kern w:val="36"/>
          <w:szCs w:val="24"/>
          <w:lang w:val="en-US" w:eastAsia="en-GB"/>
        </w:rPr>
        <w:t>STANDARDS OF EXCELLENCE</w:t>
      </w:r>
      <w:bookmarkEnd w:id="2"/>
    </w:p>
    <w:p w:rsidR="00157D73" w:rsidRPr="00CC0312" w:rsidRDefault="00157D73" w:rsidP="00913B89">
      <w:pPr>
        <w:numPr>
          <w:ilvl w:val="0"/>
          <w:numId w:val="16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Every care and consideration is given in helping a </w:t>
      </w:r>
      <w:r w:rsidR="00426966"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choose a new service.</w:t>
      </w:r>
    </w:p>
    <w:p w:rsidR="00157D73" w:rsidRPr="00CC0312" w:rsidRDefault="00426966" w:rsidP="00913B89">
      <w:pPr>
        <w:numPr>
          <w:ilvl w:val="0"/>
          <w:numId w:val="16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="00157D73" w:rsidRPr="00CC0312">
        <w:rPr>
          <w:rFonts w:eastAsia="Times New Roman" w:cs="Arial"/>
          <w:color w:val="auto"/>
          <w:kern w:val="0"/>
          <w:szCs w:val="24"/>
          <w:lang w:eastAsia="en-GB"/>
        </w:rPr>
        <w:t>s are treated with patience, care and consideration when preparing to leave the service.</w:t>
      </w:r>
    </w:p>
    <w:p w:rsidR="00157D73" w:rsidRPr="00CC0312" w:rsidRDefault="00157D73" w:rsidP="00913B89">
      <w:pPr>
        <w:numPr>
          <w:ilvl w:val="0"/>
          <w:numId w:val="16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The key worker co-ordinates the arrangements for a </w:t>
      </w:r>
      <w:r w:rsidR="00426966">
        <w:rPr>
          <w:rFonts w:eastAsia="Times New Roman" w:cs="Arial"/>
          <w:color w:val="auto"/>
          <w:kern w:val="0"/>
          <w:szCs w:val="24"/>
          <w:lang w:eastAsia="en-GB"/>
        </w:rPr>
        <w:t>Service User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to </w:t>
      </w:r>
      <w:r w:rsidR="00426966">
        <w:rPr>
          <w:rFonts w:eastAsia="Times New Roman" w:cs="Arial"/>
          <w:color w:val="auto"/>
          <w:kern w:val="0"/>
          <w:szCs w:val="24"/>
          <w:lang w:eastAsia="en-GB"/>
        </w:rPr>
        <w:t>move/transfer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 xml:space="preserve"> from a service.</w:t>
      </w:r>
    </w:p>
    <w:p w:rsidR="00157D73" w:rsidRPr="00CC0312" w:rsidRDefault="00157D73" w:rsidP="00913B89">
      <w:pPr>
        <w:numPr>
          <w:ilvl w:val="0"/>
          <w:numId w:val="16"/>
        </w:numPr>
        <w:spacing w:before="100" w:beforeAutospacing="1" w:after="0" w:line="480" w:lineRule="auto"/>
        <w:rPr>
          <w:rFonts w:eastAsia="Times New Roman" w:cs="Arial"/>
          <w:color w:val="auto"/>
          <w:kern w:val="0"/>
          <w:szCs w:val="24"/>
          <w:lang w:eastAsia="en-GB"/>
        </w:rPr>
      </w:pPr>
      <w:r w:rsidRPr="00CC0312">
        <w:rPr>
          <w:rFonts w:eastAsia="Times New Roman" w:cs="Arial"/>
          <w:color w:val="auto"/>
          <w:kern w:val="0"/>
          <w:szCs w:val="24"/>
          <w:lang w:eastAsia="en-GB"/>
        </w:rPr>
        <w:t>The meeting of the requirements of this procedure are monito</w:t>
      </w:r>
      <w:r w:rsidR="00CC0312">
        <w:rPr>
          <w:rFonts w:eastAsia="Times New Roman" w:cs="Arial"/>
          <w:color w:val="auto"/>
          <w:kern w:val="0"/>
          <w:szCs w:val="24"/>
          <w:lang w:eastAsia="en-GB"/>
        </w:rPr>
        <w:t xml:space="preserve">red and audited by the </w:t>
      </w:r>
      <w:r w:rsidR="006E1499">
        <w:rPr>
          <w:rFonts w:eastAsia="Times New Roman" w:cs="Arial"/>
          <w:color w:val="auto"/>
          <w:kern w:val="0"/>
          <w:szCs w:val="24"/>
          <w:lang w:eastAsia="en-GB"/>
        </w:rPr>
        <w:t>Head of Care</w:t>
      </w:r>
      <w:r w:rsidR="00426966">
        <w:rPr>
          <w:rFonts w:eastAsia="Times New Roman" w:cs="Arial"/>
          <w:color w:val="auto"/>
          <w:kern w:val="0"/>
          <w:szCs w:val="24"/>
          <w:lang w:eastAsia="en-GB"/>
        </w:rPr>
        <w:t>/</w:t>
      </w:r>
      <w:r w:rsidR="006C2E6D">
        <w:rPr>
          <w:rFonts w:eastAsia="Times New Roman" w:cs="Arial"/>
          <w:color w:val="auto"/>
          <w:kern w:val="0"/>
          <w:szCs w:val="24"/>
          <w:lang w:eastAsia="en-GB"/>
        </w:rPr>
        <w:t>Senior S</w:t>
      </w:r>
      <w:r w:rsidR="006E1499" w:rsidRPr="006E1499">
        <w:rPr>
          <w:rFonts w:eastAsia="Times New Roman" w:cs="Arial"/>
          <w:color w:val="auto"/>
          <w:kern w:val="0"/>
          <w:szCs w:val="24"/>
          <w:lang w:eastAsia="en-GB"/>
        </w:rPr>
        <w:t xml:space="preserve">upport </w:t>
      </w:r>
      <w:r w:rsidR="006C2E6D">
        <w:rPr>
          <w:rFonts w:eastAsia="Times New Roman" w:cs="Arial"/>
          <w:color w:val="auto"/>
          <w:kern w:val="0"/>
          <w:szCs w:val="24"/>
          <w:lang w:eastAsia="en-GB"/>
        </w:rPr>
        <w:t>W</w:t>
      </w:r>
      <w:r w:rsidR="006E1499" w:rsidRPr="006E1499">
        <w:rPr>
          <w:rFonts w:eastAsia="Times New Roman" w:cs="Arial"/>
          <w:color w:val="auto"/>
          <w:kern w:val="0"/>
          <w:szCs w:val="24"/>
          <w:lang w:eastAsia="en-GB"/>
        </w:rPr>
        <w:t xml:space="preserve">orker </w:t>
      </w:r>
      <w:r w:rsidRPr="006E1499">
        <w:rPr>
          <w:rFonts w:eastAsia="Times New Roman" w:cs="Arial"/>
          <w:color w:val="auto"/>
          <w:kern w:val="0"/>
          <w:szCs w:val="24"/>
          <w:lang w:eastAsia="en-GB"/>
        </w:rPr>
        <w:t xml:space="preserve"> </w:t>
      </w:r>
      <w:r w:rsidRPr="00CC0312">
        <w:rPr>
          <w:rFonts w:eastAsia="Times New Roman" w:cs="Arial"/>
          <w:color w:val="auto"/>
          <w:kern w:val="0"/>
          <w:szCs w:val="24"/>
          <w:lang w:eastAsia="en-GB"/>
        </w:rPr>
        <w:t>and any necessary corrective action is taken.</w:t>
      </w:r>
      <w:r w:rsidRPr="00CC0312">
        <w:rPr>
          <w:rFonts w:eastAsia="Times New Roman" w:cs="Arial"/>
          <w:b/>
          <w:bCs/>
          <w:color w:val="auto"/>
          <w:kern w:val="0"/>
          <w:szCs w:val="24"/>
          <w:lang w:eastAsia="en-GB"/>
        </w:rPr>
        <w:t xml:space="preserve"> </w:t>
      </w:r>
    </w:p>
    <w:p w:rsidR="00157D73" w:rsidRPr="00CC0312" w:rsidRDefault="00157D73" w:rsidP="00157D73">
      <w:pPr>
        <w:keepNext/>
        <w:numPr>
          <w:ilvl w:val="0"/>
          <w:numId w:val="2"/>
        </w:numPr>
        <w:spacing w:before="100" w:beforeAutospacing="1" w:after="119" w:line="480" w:lineRule="auto"/>
        <w:ind w:left="0" w:firstLine="0"/>
        <w:outlineLvl w:val="0"/>
        <w:rPr>
          <w:rFonts w:eastAsia="Times New Roman" w:cs="Arial"/>
          <w:b/>
          <w:bCs/>
          <w:color w:val="auto"/>
          <w:kern w:val="36"/>
          <w:sz w:val="32"/>
          <w:szCs w:val="32"/>
          <w:lang w:val="en-US" w:eastAsia="en-GB"/>
        </w:rPr>
      </w:pPr>
      <w:bookmarkStart w:id="3" w:name="_Toc384365068"/>
      <w:r w:rsidRPr="00CC0312">
        <w:rPr>
          <w:rFonts w:eastAsia="Times New Roman" w:cs="Arial"/>
          <w:b/>
          <w:bCs/>
          <w:color w:val="auto"/>
          <w:kern w:val="36"/>
          <w:szCs w:val="24"/>
          <w:lang w:val="en-US" w:eastAsia="en-GB"/>
        </w:rPr>
        <w:t>RESPONSIBILITIES</w:t>
      </w:r>
      <w:bookmarkEnd w:id="3"/>
    </w:p>
    <w:p w:rsidR="00157D73" w:rsidRPr="00CC0312" w:rsidRDefault="00157D73" w:rsidP="00C5238C">
      <w:pPr>
        <w:pStyle w:val="Heading2"/>
      </w:pPr>
      <w:r w:rsidRPr="00CC0312">
        <w:t xml:space="preserve">The </w:t>
      </w:r>
      <w:r w:rsidR="006E1499">
        <w:rPr>
          <w:color w:val="auto"/>
          <w:kern w:val="0"/>
          <w:szCs w:val="24"/>
          <w:lang w:eastAsia="en-GB"/>
        </w:rPr>
        <w:t>Head of Care/Senior S</w:t>
      </w:r>
      <w:r w:rsidR="006E1499" w:rsidRPr="006E1499">
        <w:rPr>
          <w:color w:val="auto"/>
          <w:kern w:val="0"/>
          <w:szCs w:val="24"/>
          <w:lang w:eastAsia="en-GB"/>
        </w:rPr>
        <w:t xml:space="preserve">upport </w:t>
      </w:r>
      <w:r w:rsidR="006E1499">
        <w:rPr>
          <w:color w:val="auto"/>
          <w:kern w:val="0"/>
          <w:szCs w:val="24"/>
          <w:lang w:eastAsia="en-GB"/>
        </w:rPr>
        <w:t>W</w:t>
      </w:r>
      <w:r w:rsidR="006E1499" w:rsidRPr="006E1499">
        <w:rPr>
          <w:color w:val="auto"/>
          <w:kern w:val="0"/>
          <w:szCs w:val="24"/>
          <w:lang w:eastAsia="en-GB"/>
        </w:rPr>
        <w:t>orker</w:t>
      </w:r>
      <w:r w:rsidRPr="00CC0312">
        <w:t xml:space="preserve"> </w:t>
      </w:r>
      <w:r w:rsidR="006E1499">
        <w:t xml:space="preserve">(SSW) </w:t>
      </w:r>
      <w:r w:rsidRPr="00CC0312">
        <w:t>shall: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Ensure that, prior to a decision being made to </w:t>
      </w:r>
      <w:r w:rsidR="00426966">
        <w:t>move/transfer/transfer</w:t>
      </w:r>
      <w:r w:rsidRPr="00CC0312">
        <w:t xml:space="preserve"> a </w:t>
      </w:r>
      <w:r w:rsidR="00426966">
        <w:t>Service User</w:t>
      </w:r>
      <w:r w:rsidRPr="00CC0312">
        <w:t xml:space="preserve">, it is discussed with the </w:t>
      </w:r>
      <w:r w:rsidR="00426966">
        <w:t>Service User</w:t>
      </w:r>
      <w:r w:rsidRPr="00CC0312">
        <w:t xml:space="preserve"> and/or relative or advocate, Social Worker, </w:t>
      </w:r>
      <w:r w:rsidR="006C2E6D">
        <w:t>Head of Care/Senior S</w:t>
      </w:r>
      <w:r w:rsidR="006C2E6D" w:rsidRPr="006E1499">
        <w:t xml:space="preserve">upport </w:t>
      </w:r>
      <w:r w:rsidR="006C2E6D">
        <w:t>W</w:t>
      </w:r>
      <w:r w:rsidR="006C2E6D" w:rsidRPr="006E1499">
        <w:t>orker</w:t>
      </w:r>
      <w:r w:rsidRPr="00CC0312">
        <w:t xml:space="preserve">, </w:t>
      </w:r>
      <w:r w:rsidRPr="00CC0312">
        <w:lastRenderedPageBreak/>
        <w:t>General Practitioner and, where appropriate, the Consultant and the person in charge of the proposed new service.</w:t>
      </w:r>
    </w:p>
    <w:p w:rsidR="007F30E8" w:rsidRDefault="00157D73" w:rsidP="007F30E8">
      <w:pPr>
        <w:pStyle w:val="Heading5"/>
        <w:ind w:left="1418" w:hanging="709"/>
      </w:pPr>
      <w:r w:rsidRPr="00CC0312">
        <w:t xml:space="preserve">Ensure that the decision to </w:t>
      </w:r>
      <w:r w:rsidR="00426966">
        <w:t>move/transfer/transfer</w:t>
      </w:r>
      <w:r w:rsidRPr="00CC0312">
        <w:t xml:space="preserve"> the </w:t>
      </w:r>
      <w:r w:rsidR="00426966">
        <w:t>Service User</w:t>
      </w:r>
      <w:r w:rsidRPr="00CC0312">
        <w:t xml:space="preserve"> is recorded in the </w:t>
      </w:r>
      <w:r w:rsidR="00426966">
        <w:t>Service User</w:t>
      </w:r>
      <w:r w:rsidRPr="00CC0312">
        <w:t xml:space="preserve">'s Person Centred Plan (PCP), giving details of the reasons for, and who instigated the </w:t>
      </w:r>
      <w:r w:rsidR="00EC77F7">
        <w:t>m</w:t>
      </w:r>
      <w:r w:rsidR="00426966">
        <w:t>ove/transfer</w:t>
      </w:r>
      <w:r w:rsidRPr="00CC0312">
        <w:t>.</w:t>
      </w:r>
      <w:r w:rsidR="007F30E8" w:rsidRPr="007F30E8">
        <w:t xml:space="preserve"> </w:t>
      </w:r>
    </w:p>
    <w:p w:rsidR="00493E31" w:rsidRPr="00667C9C" w:rsidRDefault="00493E31" w:rsidP="00493E31">
      <w:pPr>
        <w:pStyle w:val="Heading5"/>
        <w:ind w:left="1418" w:hanging="709"/>
        <w:rPr>
          <w:color w:val="FF0000"/>
        </w:rPr>
      </w:pPr>
      <w:r>
        <w:t>Complete a “N</w:t>
      </w:r>
      <w:r w:rsidRPr="00821B28">
        <w:t>ew/A</w:t>
      </w:r>
      <w:r>
        <w:t>mended</w:t>
      </w:r>
      <w:r w:rsidRPr="00821B28">
        <w:t>/T</w:t>
      </w:r>
      <w:r>
        <w:t>erminated</w:t>
      </w:r>
      <w:r w:rsidRPr="00821B28">
        <w:t xml:space="preserve"> P</w:t>
      </w:r>
      <w:r>
        <w:t>ackage of Support” form FA012-FIN and forward this to the Finance Department within 48 hours.</w:t>
      </w:r>
      <w:r w:rsidR="00667C9C">
        <w:t xml:space="preserve">  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Agree arrangements for the </w:t>
      </w:r>
      <w:r w:rsidR="00426966">
        <w:t>move/transfer</w:t>
      </w:r>
      <w:r w:rsidRPr="00CC0312">
        <w:t xml:space="preserve"> with the </w:t>
      </w:r>
      <w:r w:rsidR="00426966">
        <w:t>Service User</w:t>
      </w:r>
      <w:r w:rsidRPr="00CC0312">
        <w:t xml:space="preserve"> and/or relative or advocate and any other person or agency involved, recording the agreement in the PCP.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Make arrangements for, or ensure that the </w:t>
      </w:r>
      <w:r w:rsidR="00426966">
        <w:t>Service User</w:t>
      </w:r>
      <w:r w:rsidRPr="00CC0312">
        <w:t>, relative or advocate has arranged appropriate transport.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Assist the </w:t>
      </w:r>
      <w:r w:rsidR="00426966">
        <w:t>Service User</w:t>
      </w:r>
      <w:r w:rsidRPr="00CC0312">
        <w:t xml:space="preserve"> to pack their personal belongings, following </w:t>
      </w:r>
      <w:r w:rsidR="00426966">
        <w:t>Service User</w:t>
      </w:r>
      <w:r w:rsidRPr="00CC0312">
        <w:t>s' property procedures FA001 and FA002.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Arrange for at least one weeks medication to be available to accompany the </w:t>
      </w:r>
      <w:r w:rsidR="00426966">
        <w:t>Service User</w:t>
      </w:r>
      <w:r w:rsidRPr="00CC0312">
        <w:t xml:space="preserve"> to their new service.</w:t>
      </w:r>
    </w:p>
    <w:p w:rsidR="00157D73" w:rsidRPr="00CC0312" w:rsidRDefault="00157D73" w:rsidP="00C5238C">
      <w:pPr>
        <w:pStyle w:val="Heading5"/>
        <w:ind w:left="1418" w:hanging="709"/>
      </w:pPr>
      <w:r w:rsidRPr="00CC0312">
        <w:t xml:space="preserve">On the day of the </w:t>
      </w:r>
      <w:r w:rsidR="00426966">
        <w:t>move/transfer</w:t>
      </w:r>
      <w:r w:rsidRPr="00CC0312">
        <w:t xml:space="preserve"> assess, or arrange for the senior person on duty to assess, whether the </w:t>
      </w:r>
      <w:r w:rsidR="00426966">
        <w:t>Service User</w:t>
      </w:r>
      <w:r w:rsidRPr="00CC0312">
        <w:t xml:space="preserve"> is fit to be </w:t>
      </w:r>
      <w:r w:rsidR="00426966">
        <w:t>move/transfer</w:t>
      </w:r>
      <w:r w:rsidR="00426966" w:rsidRPr="00CC0312">
        <w:t>red</w:t>
      </w:r>
      <w:r w:rsidRPr="00CC0312">
        <w:t xml:space="preserve">. When there is any doubt the GP shall be called to see the </w:t>
      </w:r>
      <w:r w:rsidR="00426966">
        <w:t>Service User</w:t>
      </w:r>
      <w:r w:rsidRPr="00CC0312">
        <w:t xml:space="preserve"> prior to them leaving the service. The assessment and any action required shall be recorded in the </w:t>
      </w:r>
      <w:r w:rsidR="00426966">
        <w:t>Service User</w:t>
      </w:r>
      <w:r w:rsidRPr="00CC0312">
        <w:t>'s PCP by the person undertaking the assessment or summoning the GP.</w:t>
      </w:r>
    </w:p>
    <w:p w:rsidR="00157D73" w:rsidRPr="00CC0312" w:rsidRDefault="00157D73" w:rsidP="00C5238C">
      <w:pPr>
        <w:pStyle w:val="Heading2"/>
      </w:pPr>
      <w:r w:rsidRPr="00CC0312">
        <w:t xml:space="preserve">The </w:t>
      </w:r>
      <w:r w:rsidR="006C2E6D">
        <w:t>Head of Care/Senior Support Worker</w:t>
      </w:r>
      <w:r w:rsidRPr="00CC0312">
        <w:t xml:space="preserve"> shall:</w:t>
      </w:r>
    </w:p>
    <w:p w:rsidR="006E76C4" w:rsidRDefault="00157D73" w:rsidP="006E76C4">
      <w:pPr>
        <w:pStyle w:val="Heading5"/>
        <w:ind w:left="1418" w:hanging="709"/>
      </w:pPr>
      <w:r w:rsidRPr="00CC0312">
        <w:t xml:space="preserve">As soon as it is known that the </w:t>
      </w:r>
      <w:r w:rsidR="00426966">
        <w:t>Service User</w:t>
      </w:r>
      <w:r w:rsidRPr="00CC0312">
        <w:t xml:space="preserve"> is to be </w:t>
      </w:r>
      <w:r w:rsidR="00426966">
        <w:t>move/transferr</w:t>
      </w:r>
      <w:r w:rsidR="00426966" w:rsidRPr="00CC0312">
        <w:t>ed</w:t>
      </w:r>
      <w:r w:rsidRPr="00CC0312">
        <w:t>, inform the</w:t>
      </w:r>
      <w:r w:rsidR="009F744C">
        <w:t xml:space="preserve"> relevant</w:t>
      </w:r>
      <w:r w:rsidRPr="00CC0312">
        <w:t xml:space="preserve"> </w:t>
      </w:r>
      <w:r w:rsidR="009F744C">
        <w:t>Divisional Director by</w:t>
      </w:r>
      <w:r w:rsidR="00667C9C" w:rsidRPr="009F744C">
        <w:t xml:space="preserve"> email</w:t>
      </w:r>
      <w:r w:rsidR="009F744C">
        <w:t xml:space="preserve"> or </w:t>
      </w:r>
      <w:r w:rsidRPr="00CC0312">
        <w:t xml:space="preserve">telephone. </w:t>
      </w:r>
      <w:r w:rsidR="006E76C4">
        <w:t xml:space="preserve"> </w:t>
      </w:r>
    </w:p>
    <w:p w:rsidR="00F57638" w:rsidRPr="00F57638" w:rsidRDefault="006E76C4" w:rsidP="00F57638">
      <w:pPr>
        <w:pStyle w:val="Heading5"/>
        <w:ind w:left="1418" w:hanging="709"/>
      </w:pPr>
      <w:r>
        <w:t xml:space="preserve">Inform the housing benefits of the date of the </w:t>
      </w:r>
      <w:r w:rsidR="00426966">
        <w:t>move/transfer</w:t>
      </w:r>
      <w:r>
        <w:t>.</w:t>
      </w:r>
      <w:r w:rsidR="00667C9C">
        <w:rPr>
          <w:color w:val="FF0000"/>
        </w:rPr>
        <w:t xml:space="preserve"> </w:t>
      </w:r>
    </w:p>
    <w:p w:rsidR="00157D73" w:rsidRPr="00CC0312" w:rsidRDefault="00157D73" w:rsidP="00C5238C">
      <w:pPr>
        <w:pStyle w:val="Heading5"/>
        <w:ind w:left="1418" w:hanging="709"/>
      </w:pPr>
      <w:r w:rsidRPr="006E76C4">
        <w:t xml:space="preserve">Inform the </w:t>
      </w:r>
      <w:r w:rsidR="006C2E6D">
        <w:t xml:space="preserve">Divisional Director </w:t>
      </w:r>
      <w:r w:rsidR="00F57638">
        <w:t xml:space="preserve">and </w:t>
      </w:r>
      <w:r w:rsidR="006C2E6D">
        <w:t>Finance D</w:t>
      </w:r>
      <w:r w:rsidR="00F57638">
        <w:t xml:space="preserve">epartment, </w:t>
      </w:r>
      <w:r w:rsidRPr="006E76C4">
        <w:t xml:space="preserve">when the </w:t>
      </w:r>
      <w:r w:rsidR="00426966">
        <w:t>move/transfer</w:t>
      </w:r>
      <w:r w:rsidRPr="006E76C4">
        <w:t xml:space="preserve"> has completed.</w:t>
      </w:r>
    </w:p>
    <w:sectPr w:rsidR="00157D73" w:rsidRPr="00CC0312" w:rsidSect="00E35CFE">
      <w:footerReference w:type="default" r:id="rId8"/>
      <w:pgSz w:w="11906" w:h="16838"/>
      <w:pgMar w:top="709" w:right="1440" w:bottom="851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26C" w:rsidRDefault="00BD326C" w:rsidP="008F7BD8">
      <w:pPr>
        <w:spacing w:after="0" w:line="240" w:lineRule="auto"/>
      </w:pPr>
      <w:r>
        <w:separator/>
      </w:r>
    </w:p>
  </w:endnote>
  <w:endnote w:type="continuationSeparator" w:id="0">
    <w:p w:rsidR="00BD326C" w:rsidRDefault="00BD326C" w:rsidP="008F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4"/>
      <w:gridCol w:w="3013"/>
      <w:gridCol w:w="3009"/>
    </w:tblGrid>
    <w:tr w:rsidR="008F7BD8" w:rsidTr="008F7BD8">
      <w:tc>
        <w:tcPr>
          <w:tcW w:w="3080" w:type="dxa"/>
        </w:tcPr>
        <w:p w:rsidR="008F7BD8" w:rsidRPr="008F7BD8" w:rsidRDefault="00B11B8E">
          <w:pPr>
            <w:pStyle w:val="Footer"/>
            <w:rPr>
              <w:sz w:val="18"/>
            </w:rPr>
          </w:pPr>
          <w:r>
            <w:rPr>
              <w:sz w:val="18"/>
            </w:rPr>
            <w:t xml:space="preserve">MA007     </w:t>
          </w:r>
          <w:r w:rsidR="008F7BD8" w:rsidRPr="008F7BD8">
            <w:rPr>
              <w:sz w:val="18"/>
            </w:rPr>
            <w:t xml:space="preserve">  Page </w:t>
          </w:r>
          <w:r w:rsidR="008F7BD8" w:rsidRPr="008F7BD8">
            <w:rPr>
              <w:sz w:val="18"/>
            </w:rPr>
            <w:fldChar w:fldCharType="begin"/>
          </w:r>
          <w:r w:rsidR="008F7BD8" w:rsidRPr="008F7BD8">
            <w:rPr>
              <w:sz w:val="18"/>
            </w:rPr>
            <w:instrText xml:space="preserve"> PAGE  \* Arabic  \* MERGEFORMAT </w:instrText>
          </w:r>
          <w:r w:rsidR="008F7BD8" w:rsidRPr="008F7BD8">
            <w:rPr>
              <w:sz w:val="18"/>
            </w:rPr>
            <w:fldChar w:fldCharType="separate"/>
          </w:r>
          <w:r w:rsidR="00D10AA5">
            <w:rPr>
              <w:noProof/>
              <w:sz w:val="18"/>
            </w:rPr>
            <w:t>1</w:t>
          </w:r>
          <w:r w:rsidR="008F7BD8" w:rsidRPr="008F7BD8">
            <w:rPr>
              <w:sz w:val="18"/>
            </w:rPr>
            <w:fldChar w:fldCharType="end"/>
          </w:r>
          <w:r w:rsidR="008F7BD8" w:rsidRPr="008F7BD8">
            <w:rPr>
              <w:sz w:val="18"/>
            </w:rPr>
            <w:t xml:space="preserve"> of </w:t>
          </w:r>
          <w:r w:rsidR="008F7BD8" w:rsidRPr="008F7BD8">
            <w:rPr>
              <w:sz w:val="18"/>
            </w:rPr>
            <w:fldChar w:fldCharType="begin"/>
          </w:r>
          <w:r w:rsidR="008F7BD8" w:rsidRPr="008F7BD8">
            <w:rPr>
              <w:sz w:val="18"/>
            </w:rPr>
            <w:instrText xml:space="preserve"> NUMPAGES  \* Arabic  \* MERGEFORMAT </w:instrText>
          </w:r>
          <w:r w:rsidR="008F7BD8" w:rsidRPr="008F7BD8">
            <w:rPr>
              <w:sz w:val="18"/>
            </w:rPr>
            <w:fldChar w:fldCharType="separate"/>
          </w:r>
          <w:r w:rsidR="00D10AA5">
            <w:rPr>
              <w:noProof/>
              <w:sz w:val="18"/>
            </w:rPr>
            <w:t>4</w:t>
          </w:r>
          <w:r w:rsidR="008F7BD8" w:rsidRPr="008F7BD8">
            <w:rPr>
              <w:sz w:val="18"/>
            </w:rPr>
            <w:fldChar w:fldCharType="end"/>
          </w:r>
        </w:p>
      </w:tc>
      <w:tc>
        <w:tcPr>
          <w:tcW w:w="3081" w:type="dxa"/>
        </w:tcPr>
        <w:p w:rsidR="008F7BD8" w:rsidRPr="008F7BD8" w:rsidRDefault="008F7BD8" w:rsidP="006E1499">
          <w:pPr>
            <w:pStyle w:val="Footer"/>
            <w:jc w:val="center"/>
            <w:rPr>
              <w:sz w:val="18"/>
            </w:rPr>
          </w:pPr>
          <w:r w:rsidRPr="008F7BD8">
            <w:rPr>
              <w:sz w:val="18"/>
            </w:rPr>
            <w:t xml:space="preserve">Issue Date: </w:t>
          </w:r>
          <w:r w:rsidR="006E1499">
            <w:rPr>
              <w:sz w:val="18"/>
            </w:rPr>
            <w:t>12 November 2020</w:t>
          </w:r>
        </w:p>
      </w:tc>
      <w:tc>
        <w:tcPr>
          <w:tcW w:w="3081" w:type="dxa"/>
        </w:tcPr>
        <w:p w:rsidR="008F7BD8" w:rsidRPr="008F7BD8" w:rsidRDefault="00426966" w:rsidP="008F7BD8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>R</w:t>
          </w:r>
          <w:r w:rsidR="006E1499">
            <w:rPr>
              <w:sz w:val="18"/>
            </w:rPr>
            <w:t>evision No:4</w:t>
          </w:r>
        </w:p>
      </w:tc>
    </w:tr>
  </w:tbl>
  <w:p w:rsidR="008F7BD8" w:rsidRDefault="008F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26C" w:rsidRDefault="00BD326C" w:rsidP="008F7BD8">
      <w:pPr>
        <w:spacing w:after="0" w:line="240" w:lineRule="auto"/>
      </w:pPr>
      <w:r>
        <w:separator/>
      </w:r>
    </w:p>
  </w:footnote>
  <w:footnote w:type="continuationSeparator" w:id="0">
    <w:p w:rsidR="00BD326C" w:rsidRDefault="00BD326C" w:rsidP="008F7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F39"/>
    <w:multiLevelType w:val="hybridMultilevel"/>
    <w:tmpl w:val="A9A21B98"/>
    <w:lvl w:ilvl="0" w:tplc="A0123C0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8745CF2"/>
    <w:multiLevelType w:val="multilevel"/>
    <w:tmpl w:val="E0A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2445D"/>
    <w:multiLevelType w:val="multilevel"/>
    <w:tmpl w:val="EC9C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9A6543"/>
    <w:multiLevelType w:val="multilevel"/>
    <w:tmpl w:val="F9E2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231EA"/>
    <w:multiLevelType w:val="hybridMultilevel"/>
    <w:tmpl w:val="4B6E4ADA"/>
    <w:lvl w:ilvl="0" w:tplc="725E07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88E"/>
    <w:multiLevelType w:val="multilevel"/>
    <w:tmpl w:val="CA02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F26AF7"/>
    <w:multiLevelType w:val="hybridMultilevel"/>
    <w:tmpl w:val="A384803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275686"/>
    <w:multiLevelType w:val="hybridMultilevel"/>
    <w:tmpl w:val="556CA46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215148"/>
    <w:multiLevelType w:val="hybridMultilevel"/>
    <w:tmpl w:val="152A5D0C"/>
    <w:lvl w:ilvl="0" w:tplc="F6522872">
      <w:start w:val="1"/>
      <w:numFmt w:val="lowerLetter"/>
      <w:pStyle w:val="Heading5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F5C"/>
    <w:multiLevelType w:val="multilevel"/>
    <w:tmpl w:val="7BB0B52C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B58112A"/>
    <w:multiLevelType w:val="hybridMultilevel"/>
    <w:tmpl w:val="3CA85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6F0E85"/>
    <w:multiLevelType w:val="multilevel"/>
    <w:tmpl w:val="7A66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B07BC3"/>
    <w:multiLevelType w:val="multilevel"/>
    <w:tmpl w:val="618A6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0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82"/>
    <w:rsid w:val="000675BD"/>
    <w:rsid w:val="000A67C9"/>
    <w:rsid w:val="000E2337"/>
    <w:rsid w:val="00142E21"/>
    <w:rsid w:val="00157D73"/>
    <w:rsid w:val="001D79FF"/>
    <w:rsid w:val="001F4442"/>
    <w:rsid w:val="00242F38"/>
    <w:rsid w:val="002815E3"/>
    <w:rsid w:val="002839FB"/>
    <w:rsid w:val="0030044D"/>
    <w:rsid w:val="0041632C"/>
    <w:rsid w:val="00426966"/>
    <w:rsid w:val="00493A16"/>
    <w:rsid w:val="00493E31"/>
    <w:rsid w:val="00515AC4"/>
    <w:rsid w:val="005323C6"/>
    <w:rsid w:val="00555EA0"/>
    <w:rsid w:val="00577C67"/>
    <w:rsid w:val="005B03B6"/>
    <w:rsid w:val="00667C9C"/>
    <w:rsid w:val="006C2E6D"/>
    <w:rsid w:val="006E1499"/>
    <w:rsid w:val="006E76C4"/>
    <w:rsid w:val="0071039F"/>
    <w:rsid w:val="007638C4"/>
    <w:rsid w:val="007676E6"/>
    <w:rsid w:val="007C5EF5"/>
    <w:rsid w:val="007D0F8D"/>
    <w:rsid w:val="007F30E8"/>
    <w:rsid w:val="007F69FF"/>
    <w:rsid w:val="00825AB1"/>
    <w:rsid w:val="008C287B"/>
    <w:rsid w:val="008F4F66"/>
    <w:rsid w:val="008F7BD8"/>
    <w:rsid w:val="009048AF"/>
    <w:rsid w:val="00913B89"/>
    <w:rsid w:val="009243CF"/>
    <w:rsid w:val="009F744C"/>
    <w:rsid w:val="00A12AA3"/>
    <w:rsid w:val="00A4097F"/>
    <w:rsid w:val="00A5183C"/>
    <w:rsid w:val="00AB2FF8"/>
    <w:rsid w:val="00AE7A98"/>
    <w:rsid w:val="00B04762"/>
    <w:rsid w:val="00B11B8E"/>
    <w:rsid w:val="00B40724"/>
    <w:rsid w:val="00B62DAA"/>
    <w:rsid w:val="00B63E13"/>
    <w:rsid w:val="00B75CD9"/>
    <w:rsid w:val="00BB4405"/>
    <w:rsid w:val="00BB526C"/>
    <w:rsid w:val="00BD326C"/>
    <w:rsid w:val="00BF747A"/>
    <w:rsid w:val="00C243FF"/>
    <w:rsid w:val="00C31982"/>
    <w:rsid w:val="00C5238C"/>
    <w:rsid w:val="00C86BC2"/>
    <w:rsid w:val="00CC0312"/>
    <w:rsid w:val="00CE3FE5"/>
    <w:rsid w:val="00D10AA5"/>
    <w:rsid w:val="00D36E93"/>
    <w:rsid w:val="00E200E6"/>
    <w:rsid w:val="00E35CFE"/>
    <w:rsid w:val="00E35F56"/>
    <w:rsid w:val="00E71683"/>
    <w:rsid w:val="00E935A2"/>
    <w:rsid w:val="00EC77F7"/>
    <w:rsid w:val="00ED39AC"/>
    <w:rsid w:val="00EE18EA"/>
    <w:rsid w:val="00F43D20"/>
    <w:rsid w:val="00F5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1BEF"/>
  <w15:docId w15:val="{7E05CDBC-19F9-4B1A-B704-5ADED16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ajorBidi"/>
        <w:color w:val="000000" w:themeColor="text1"/>
        <w:kern w:val="24"/>
        <w:sz w:val="24"/>
        <w:szCs w:val="26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5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0044D"/>
    <w:pPr>
      <w:widowControl w:val="0"/>
      <w:numPr>
        <w:numId w:val="2"/>
      </w:numPr>
      <w:suppressAutoHyphens/>
      <w:spacing w:line="480" w:lineRule="auto"/>
      <w:ind w:right="144"/>
      <w:jc w:val="both"/>
      <w:outlineLvl w:val="0"/>
    </w:pPr>
    <w:rPr>
      <w:rFonts w:eastAsia="Times New Roman" w:cs="Arial"/>
      <w:b/>
      <w:bCs/>
      <w:caps/>
      <w:szCs w:val="40"/>
      <w:lang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5238C"/>
    <w:pPr>
      <w:widowControl w:val="0"/>
      <w:numPr>
        <w:ilvl w:val="1"/>
        <w:numId w:val="8"/>
      </w:numPr>
      <w:autoSpaceDE w:val="0"/>
      <w:spacing w:before="200" w:after="0" w:line="480" w:lineRule="auto"/>
      <w:ind w:left="709" w:right="144" w:hanging="709"/>
      <w:jc w:val="both"/>
      <w:outlineLvl w:val="1"/>
    </w:pPr>
    <w:rPr>
      <w:rFonts w:eastAsia="Times New Roman" w:cs="Arial"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5F56"/>
    <w:pPr>
      <w:numPr>
        <w:ilvl w:val="2"/>
        <w:numId w:val="8"/>
      </w:numPr>
      <w:outlineLvl w:val="2"/>
    </w:p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30044D"/>
    <w:pPr>
      <w:numPr>
        <w:ilvl w:val="3"/>
      </w:numPr>
      <w:outlineLvl w:val="3"/>
    </w:pPr>
    <w:rPr>
      <w:lang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C243FF"/>
    <w:pPr>
      <w:numPr>
        <w:numId w:val="17"/>
      </w:numPr>
      <w:spacing w:before="100" w:beforeAutospacing="1" w:line="480" w:lineRule="auto"/>
      <w:outlineLvl w:val="4"/>
    </w:pPr>
    <w:rPr>
      <w:rFonts w:ascii="Arial" w:hAnsi="Arial" w:cs="Arial"/>
      <w:color w:val="auto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044D"/>
    <w:rPr>
      <w:rFonts w:eastAsia="Times New Roman" w:cs="Arial"/>
      <w:b/>
      <w:bCs/>
      <w:caps/>
      <w:szCs w:val="40"/>
      <w:lang w:eastAsia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E35F56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kern w:val="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40724"/>
    <w:pPr>
      <w:tabs>
        <w:tab w:val="left" w:pos="480"/>
        <w:tab w:val="right" w:leader="dot" w:pos="9016"/>
      </w:tabs>
      <w:spacing w:after="100" w:line="240" w:lineRule="auto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E93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5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5238C"/>
    <w:rPr>
      <w:rFonts w:eastAsia="Times New Roman" w:cs="Arial"/>
      <w:bCs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35F56"/>
  </w:style>
  <w:style w:type="paragraph" w:styleId="Header">
    <w:name w:val="header"/>
    <w:basedOn w:val="Normal"/>
    <w:link w:val="HeaderChar"/>
    <w:uiPriority w:val="99"/>
    <w:unhideWhenUsed/>
    <w:rsid w:val="008F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D8"/>
  </w:style>
  <w:style w:type="paragraph" w:styleId="Footer">
    <w:name w:val="footer"/>
    <w:basedOn w:val="Normal"/>
    <w:link w:val="FooterChar"/>
    <w:uiPriority w:val="99"/>
    <w:unhideWhenUsed/>
    <w:rsid w:val="008F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D8"/>
  </w:style>
  <w:style w:type="table" w:styleId="TableGrid">
    <w:name w:val="Table Grid"/>
    <w:basedOn w:val="TableNormal"/>
    <w:uiPriority w:val="59"/>
    <w:rsid w:val="008F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35F56"/>
    <w:rPr>
      <w:rFonts w:eastAsia="Times New Roman" w:cstheme="majorBidi"/>
      <w:bCs/>
      <w:color w:val="000000" w:themeColor="text1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515AC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15AC4"/>
    <w:pPr>
      <w:spacing w:after="100"/>
      <w:ind w:left="480"/>
    </w:pPr>
  </w:style>
  <w:style w:type="paragraph" w:styleId="Title">
    <w:name w:val="Title"/>
    <w:basedOn w:val="Normal"/>
    <w:next w:val="Subtitle"/>
    <w:link w:val="TitleChar"/>
    <w:qFormat/>
    <w:rsid w:val="00E35F56"/>
    <w:pPr>
      <w:suppressAutoHyphens/>
      <w:spacing w:after="0" w:line="240" w:lineRule="auto"/>
      <w:jc w:val="center"/>
    </w:pPr>
    <w:rPr>
      <w:rFonts w:eastAsia="Times New Roman"/>
      <w:b/>
      <w:kern w:val="0"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35F56"/>
    <w:rPr>
      <w:rFonts w:eastAsia="Times New Roman"/>
      <w:b/>
      <w:kern w:val="0"/>
      <w:sz w:val="32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5F56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35F56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Paragraph">
    <w:name w:val="List Paragraph"/>
    <w:basedOn w:val="Normal"/>
    <w:uiPriority w:val="34"/>
    <w:qFormat/>
    <w:rsid w:val="00E35F56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C3198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Cs w:val="24"/>
      <w:lang w:eastAsia="en-GB"/>
    </w:rPr>
  </w:style>
  <w:style w:type="paragraph" w:customStyle="1" w:styleId="western">
    <w:name w:val="western"/>
    <w:basedOn w:val="Normal"/>
    <w:rsid w:val="00157D73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243FF"/>
    <w:rPr>
      <w:rFonts w:eastAsia="Times New Roman" w:cs="Arial"/>
      <w:color w:val="auto"/>
      <w:kern w:val="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.macdonald\AppData\Roaming\Microsoft\Templates\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D55F-32B9-405F-ACD4-09CA0DBA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0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MacDonald</dc:creator>
  <cp:lastModifiedBy>Robert MacDonald</cp:lastModifiedBy>
  <cp:revision>3</cp:revision>
  <cp:lastPrinted>2016-01-15T13:51:00Z</cp:lastPrinted>
  <dcterms:created xsi:type="dcterms:W3CDTF">2020-11-12T14:07:00Z</dcterms:created>
  <dcterms:modified xsi:type="dcterms:W3CDTF">2020-11-12T14:11:00Z</dcterms:modified>
</cp:coreProperties>
</file>